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августа 2011 г. N 688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НЕКОТОРЫЕ АКТЫ ПРАВИТЕЛЬСТВА РОССИЙСКОЙ ФЕДЕРАЦИИ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ВОПРОСУ ПРЕДОСТАВЛЕНИЯ ГОСУДАРСТВЕННЫХ ГАРАНТИЙ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НА РЕАЛИЗАЦИЮ ИНВЕСТИЦИОННЫХ ПРОЕКТОВ,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ПРОЕКТОВ В ОБЛАСТИ ЭНЕРГОСБЕРЕЖЕНИЯ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ПОВЫШЕНИЯ ЭНЕРГЕТИЧЕСКОЙ ЭФФЕКТИВНОСТИ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06.06.2013 N 479)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 по вопросу предоставления государственных гарантий Российской Федерации на реализацию инвестиционных проектов, в том числе проектов в области энергосбережения и повышения энергетической эффективности.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Утверждены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августа 2011 г. N 688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ИЗМЕНЕНИЯ,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ПО ВОПРОСУ ПРЕДОСТАВЛЕНИЯ ГОСУДАРСТВЕННЫХ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ГАРАНТИЙ РОССИЙСКОЙ ФЕДЕРАЦИИ НА РЕАЛИЗАЦИЮ ИНВЕСТИЦИОННЫХ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ПРОЕКТОВ, В ТОМ ЧИСЛЕ ПРОЕКТОВ В ОБЛАСТИ ЭНЕРГОСБЕРЕЖЕНИЯ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ПОВЫШЕНИЯ ЭНЕРГЕТИЧЕСКОЙ ЭФФЕКТИВНОСТИ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06.06.2013 N 479)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6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отбора инвестиционных проектов и принципалов для предоставления государственных гарантий Российской Федерации по кредитам либо облигационным займам, привлекаемым на осуществление инвестиционных проектов, утвержденных Постановлением Правительства Российской Федерации от 14 декабря 2010 г. N 1016 (Собрание законодательства Российской Федерации, 2010, N 52, ст. 7081):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7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>: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слова</w:t>
        </w:r>
      </w:hyperlink>
      <w:r>
        <w:rPr>
          <w:rFonts w:ascii="Calibri" w:hAnsi="Calibri" w:cs="Calibri"/>
        </w:rPr>
        <w:t xml:space="preserve"> "(далее - проекты)" исключить;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словами: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", а также проекты в области энергосбережения и повышения энергетической эффективности в сфере жилищно-коммунального хозяйства и в сфере промышленности, реализуемые в рамках государственной </w:t>
      </w:r>
      <w:hyperlink r:id="rId1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"Энергосбережение и </w:t>
      </w:r>
      <w:r>
        <w:rPr>
          <w:rFonts w:ascii="Calibri" w:hAnsi="Calibri" w:cs="Calibri"/>
        </w:rPr>
        <w:lastRenderedPageBreak/>
        <w:t>повышение энергетической эффективности на период до 2020 года", утвержденной распоряжением Правительства Российской Федерации от 27 декабря 2010 г. N 2446-р (далее - проекты)";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1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К отбору допускаются проекты, соответствующие следующим критериям: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всех проектов: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15 процентов полной стоимости проекта финансируются принципалом за счет собственных средств;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(доля) государственной поддержки, оказываемой Российской Федерацией и (или) субъектами Российской Федерации принципалу по осуществляемому (финансируемому) им проекту в различных формах (заключение концессионных соглашений, внесение взносов в уставный капитал принципала, субсидирование процентных ставок по привлекаемым принципалом кредитам (облигационным займам), предоставление государственных гарантий субъекта Российской Федерации и др.), включая участие государственной корпорации "Банк развития и внешнеэкономической деятельности (Внешэкономбанк)" в финансировании соответствующего проекта и предоставление государственной гарантии Российской Федерации, не должен превышать 75 процентов полной стоимости проекта, осуществляемого (финансируемого) этим принципалом;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планируемый объем финансирования проекта за счет обеспеченных государственной гарантией Российской Федерации облигационных займов и (или) кредитов, привлекаемых на его осуществление, составляет не более 50 процентов полной стоимости проекта;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проектов в области энергосбережения и повышения энергетической эффективности в сфере жилищно-коммунального хозяйства: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полная стоимость проекта определяется как сумма капитальных затрат, связанных с созданием, модернизацией или реконструкцией объекта, осуществляемых в рамках реализации проекта, в том числе с момента начала работ по модернизации или реконструкции такого объекта до момента завершения указанных работ, и составляет не менее 500 млн. рублей;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участия Российской Федерации, субъектов Российской Федерации, а также муниципальных образований в уставном капитале принципала составляет не более 49 процентов;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возврат (окупаемость) не менее 80 процентов общего объема вложенных средств осуществляется в срок не более 7 лет за счет сокращения потребления энергетических ресурсов и (или) воды;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инвестиции осуществляются в реконструкцию и (или) модернизацию существующей инфраструктуры жилищно-коммунального хозяйства либо в полную замену существующей инфраструктуры на энергоэффективную;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величина возможного сокращения потребления энергетических ресурсов и (или) воды в абсолютном выражении и (или) на единицу продукции (товара, работы, услуги), подтвержденная энергетическим паспортом, составленным по результатам энергетического обследования, составляет не менее 15 процентов;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отношении проектов в области энергосбережения и повышения энергетической эффективности в сфере промышленности: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полная стоимость проекта определяется как сумма капитальных затрат, связанных с созданием, модернизацией или реконструкцией объекта, осуществляемых в рамках реализации проекта, в том числе с момента начала работ по модернизации или реконструкции такого объекта до момента завершения указанных работ, и составляет не менее 1 млрд. рублей;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участия Российской Федерации, субъектов Российской Федерации, а также муниципальных образований в уставном капитале принципала составляет не более 49 процентов;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возврат (окупаемость) не менее 50 процентов общего объема вложенных средств осуществляется в срок не более 5 лет за счет сокращения потребления энергетических ресурсов и (или) воды в расчете на единицу производимой продукции (товара, работы, услуги);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инвестиции осуществляются в реконструкцию и (или) модернизацию действующего производства, включая производственные линии, введенные в эксплуатацию не ранее года, предшествующего году участия в отборе инвестиционных проектов и принципалов;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инвестиции осуществляются в основные активы принципала (включая оборудование и </w:t>
      </w:r>
      <w:r>
        <w:rPr>
          <w:rFonts w:ascii="Calibri" w:hAnsi="Calibri" w:cs="Calibri"/>
        </w:rPr>
        <w:lastRenderedPageBreak/>
        <w:t>объекты энергетической инфраструктуры), при этом значение балансовой стоимости объекта (объектов) инвестиций на последнюю отчетную дату должно превышать 1 процент балансовой стоимости всех активов на последнюю отчетную дату или 5 процентов балансовой стоимости внеоборотных активов на последнюю отчетную дату;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величина возможного сокращения потребления энергетических ресурсов и (или) воды в абсолютном выражении и (или) на единицу продукции, подтвержденная энергетическим паспортом, составленным по результатам энергетического обследования, составляет не менее 10 процентов;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принципал не должен производить и (или) продавать табачную и алкогольную продукцию;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отношении иных проектов: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полная стоимость проекта определяется как сумма капитальных затрат, связанных с созданием, модернизацией или реконструкцией объекта, осуществляемых в рамках реализации проекта, с момента начала строительных работ до момента ввода объекта в эксплуатацию, а также связанных с реализацией проекта финансовых затрат (капитализируемые проценты по кредитам в период строительства и расходы по оплате услуг консультантов по организации привлечения для реализации проекта облигационных займов и (или) кредитов) и расходов, связанных с возможной оплатой планируемых договоров, и составляет не менее 5 млрд. рублей (не менее 175 млн. долларов США).";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2" w:history="1">
        <w:r>
          <w:rPr>
            <w:rFonts w:ascii="Calibri" w:hAnsi="Calibri" w:cs="Calibri"/>
            <w:color w:val="0000FF"/>
          </w:rPr>
          <w:t>подпункт "а" пункта 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"а) межведомственной комиссией, образуемой при Министерстве экономического развития Российской Федерации (далее - межведомственная комиссия), в случае: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стоимость проекта в области энергосбережения и повышения энергетической эффективности в сфере жилищно-коммунального хозяйства составляет от 500 млн. рублей до 10 млрд. рублей включительно;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стоимость проекта в области энергосбережения и повышения энергетической эффективности в сфере промышленности составляет от 1 млрд. рублей до 10 млрд. рублей включительно;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стоимость проекта, предусмотренного подпунктом "г" пункта 3 настоящих Правил, составляет от 5 млрд. рублей (от 175 млн. долларов США) до 10 млрд. рублей (до 350 млн. долларов США) включительно;";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13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слова "пунктами 9 и 10" заменить словами "пунктами 9 - 10";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14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"9. Уполномоченный финансовый консультант в отношении проектов в области энергосбережения и повышения энергетической эффективности в сфере жилищно-коммунального хозяйства и в сфере промышленности должен соответствовать одному из следующих критериев: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опыта работы в качестве финансового консультанта по проектам в сфере энергосбережения, энергетики, жилищно-коммунального хозяйства или промышленности стоимостью не менее 1 млрд. рублей каждый в течение 3 предшествующих лет (в том числе в качестве исполнителя);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сделок проектного финансирования с суммой кредита не менее 500 млн. рублей каждая, по которым уполномоченный финансовый консультант выступал в качестве кредитора или финансового консультанта по привлечению проектного финансирования, которые достигли финансового закрытия в течение последних 12 месяцев и количество которых составило не менее 2, а за последние 36 месяцев - не менее 6;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опыта работы в качестве финансового консультанта по проектам в сфере транспортной, коммунальной, социальной и промышленной инфраструктуры стоимостью не менее 5 млрд. рублей каждый в течение 3 предшествующих лет (в том числе в качестве исполнителя).";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hyperlink r:id="rId1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9(1) следующего содержания: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"9(1). Уполномоченный финансовый консультант в отношении проектов, предусмотренных подпунктом "г" пункта 3 настоящих Правил, должен соответствовать одному из следующих критериев: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уполномоченный финансовый консультант по числу и (или) по объему заключенных сделок по сопровождению проектного финансирования за предшествующий год должен входить </w:t>
      </w:r>
      <w:r>
        <w:rPr>
          <w:rFonts w:ascii="Calibri" w:hAnsi="Calibri" w:cs="Calibri"/>
        </w:rPr>
        <w:lastRenderedPageBreak/>
        <w:t>в рейтинг 10 крупнейших финансовых консультантов таких международных агентств и печатных изданий по Российской Федерации и (или) Восточной Европе, как "Диалоджик" (Dealogic), "Прожект Финанс Мегазин" (Project Finance Magazine);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опыта работы в качестве финансового консультанта по проектам в сфере транспортной, коммунальной, социальной и промышленной инфраструктуры стоимостью не менее 5 млрд. рублей каждый в течение 3 предшествующих лет (в том числе в качестве исполнителя);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сделок проектного финансирования с суммой кредита не менее 2,5 млрд. рублей каждая, по которым уполномоченный финансовый консультант выступал в качестве кредитора или финансового консультанта по привлечению проектного финансирования, которые достигли финансового закрытия в течение последних 12 месяцев и количество которых составило не менее 2, а за последние 36 месяцев - не менее 6.";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16" w:history="1">
        <w:r>
          <w:rPr>
            <w:rFonts w:ascii="Calibri" w:hAnsi="Calibri" w:cs="Calibri"/>
            <w:color w:val="0000FF"/>
          </w:rPr>
          <w:t>пункт 12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"Стоимость услуг финансового консультанта по подготовке и выдаче указанных заключений для проектов в области энергосбережения и повышения энергетической эффективности в сфере жилищно-коммунального хозяйства и в сфере промышленности не может составлять более 0,7 процента размера государственной гарантии.";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</w:t>
      </w:r>
      <w:hyperlink r:id="rId17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"15. Межведомственная комиссия на основании представленных документов принимает решение: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отборе проекта, предусмотренного подпунктом "а" пункта 5 настоящих Правил;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отборе принципала;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результатах рассмотрения проектов стоимостью свыше 10 млрд. рублей (свыше 350 млн. долларов США).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решение оформляется протоколом.";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</w:t>
      </w:r>
      <w:hyperlink r:id="rId18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указанным Правилам дополнить пунктом 13 следующего содержания: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"13. Энергетический паспорт, составленный не позднее 18 месяцев с даты подачи заявки на участие в отборе (для проектов в области энергосбережения и повышения энергетической эффективности в сфере жилищно-коммунального хозяйства и в сфере промышленности).";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</w:t>
      </w:r>
      <w:hyperlink r:id="rId19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приложения N 2 к указанным Правилам дополнить абзацем следующего содержания: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"Для проектов в области энергосбережения и повышения энергетической эффективности в сфере жилищно-коммунального хозяйства и в сфере промышленности дополнительно осуществляется анализ финансово-экономической деятельности принципала.";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</w:t>
      </w:r>
      <w:hyperlink r:id="rId20" w:history="1">
        <w:r>
          <w:rPr>
            <w:rFonts w:ascii="Calibri" w:hAnsi="Calibri" w:cs="Calibri"/>
            <w:color w:val="0000FF"/>
          </w:rPr>
          <w:t>пункт 17</w:t>
        </w:r>
      </w:hyperlink>
      <w:r>
        <w:rPr>
          <w:rFonts w:ascii="Calibri" w:hAnsi="Calibri" w:cs="Calibri"/>
        </w:rPr>
        <w:t xml:space="preserve"> приложения N 3 к указанным Правилам дополнить абзацем следующего содержания: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отношении проектов в области энергосбережения и повышения энергетической эффективности в сфере жилищно-коммунального хозяйства и в сфере промышленности дополнительно осуществляется анализ финансово-экономической деятельности принципала.";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06.06.2013 N 479.</w:t>
      </w: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19C" w:rsidRDefault="00BE0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19C" w:rsidRDefault="00BE019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E019C" w:rsidRDefault="00BE019C"/>
    <w:sectPr w:rsidR="00BE019C" w:rsidSect="0042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019C"/>
    <w:rsid w:val="00BE019C"/>
    <w:rsid w:val="00EF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EF289262674C76B9A80004F40673923ECFB4294F17B6A77995A4E0B7088C277ECAD2E3B16C9B42C2Y5M" TargetMode="External"/><Relationship Id="rId13" Type="http://schemas.openxmlformats.org/officeDocument/2006/relationships/hyperlink" Target="consultantplus://offline/ref=34EF289262674C76B9A80004F40673923ECFB4294F17B6A77995A4E0B7088C277ECAD2E3B16C9B40C2Y5M" TargetMode="External"/><Relationship Id="rId18" Type="http://schemas.openxmlformats.org/officeDocument/2006/relationships/hyperlink" Target="consultantplus://offline/ref=34EF289262674C76B9A80004F40673923ECFB4294F17B6A77995A4E0B7088C277ECAD2E3B16C9B44C2Y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EF289262674C76B9A80004F40673923ECBBB2E4E17B6A77995A4E0B7088C277ECAD2E3B16C9B42C2Y3M" TargetMode="External"/><Relationship Id="rId7" Type="http://schemas.openxmlformats.org/officeDocument/2006/relationships/hyperlink" Target="consultantplus://offline/ref=34EF289262674C76B9A80004F40673923ECFB4294F17B6A77995A4E0B7088C277ECAD2E3B16C9B42C2Y5M" TargetMode="External"/><Relationship Id="rId12" Type="http://schemas.openxmlformats.org/officeDocument/2006/relationships/hyperlink" Target="consultantplus://offline/ref=34EF289262674C76B9A80004F40673923ECFB4294F17B6A77995A4E0B7088C277ECAD2E3B16C9B41C2YFM" TargetMode="External"/><Relationship Id="rId17" Type="http://schemas.openxmlformats.org/officeDocument/2006/relationships/hyperlink" Target="consultantplus://offline/ref=34EF289262674C76B9A80004F40673923ECFB4294F17B6A77995A4E0B7088C277ECAD2E3B16C9B47C2Y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EF289262674C76B9A80004F40673923ECFB4294F17B6A77995A4E0B7088C277ECAD2E3B16C9B47C2Y7M" TargetMode="External"/><Relationship Id="rId20" Type="http://schemas.openxmlformats.org/officeDocument/2006/relationships/hyperlink" Target="consultantplus://offline/ref=34EF289262674C76B9A80004F40673923ECFB4294F17B6A77995A4E0B7088C277ECAD2E3B16C9A46C2Y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EF289262674C76B9A80004F40673923ECFB4294F17B6A77995A4E0B7088C277ECAD2E3B16C9B42C2Y6M" TargetMode="External"/><Relationship Id="rId11" Type="http://schemas.openxmlformats.org/officeDocument/2006/relationships/hyperlink" Target="consultantplus://offline/ref=34EF289262674C76B9A80004F40673923ECFB4294F17B6A77995A4E0B7088C277ECAD2E3B16C9B42C2Y3M" TargetMode="External"/><Relationship Id="rId5" Type="http://schemas.openxmlformats.org/officeDocument/2006/relationships/hyperlink" Target="consultantplus://offline/ref=34EF289262674C76B9A80004F40673923ECBBB2E4E17B6A77995A4E0B7088C277ECAD2E3B16C9B42C2Y3M" TargetMode="External"/><Relationship Id="rId15" Type="http://schemas.openxmlformats.org/officeDocument/2006/relationships/hyperlink" Target="consultantplus://offline/ref=34EF289262674C76B9A80004F40673923ECFB4294F17B6A77995A4E0B7088C277ECAD2E3B16C9B42C2Y6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4EF289262674C76B9A80004F40673923ECBBE2E4D17B6A77995A4E0B7088C277ECAD2E3B16C9B43C2Y0M" TargetMode="External"/><Relationship Id="rId19" Type="http://schemas.openxmlformats.org/officeDocument/2006/relationships/hyperlink" Target="consultantplus://offline/ref=34EF289262674C76B9A80004F40673923ECFB4294F17B6A77995A4E0B7088C277ECAD2E3B16C9A42C2Y2M" TargetMode="External"/><Relationship Id="rId4" Type="http://schemas.openxmlformats.org/officeDocument/2006/relationships/hyperlink" Target="consultantplus://offline/ref=34EF289262674C76B9A80004F40673923ECBBB2E4E17B6A77995A4E0B7088C277ECAD2E3B16C9B42C2Y3M" TargetMode="External"/><Relationship Id="rId9" Type="http://schemas.openxmlformats.org/officeDocument/2006/relationships/hyperlink" Target="consultantplus://offline/ref=34EF289262674C76B9A80004F40673923ECFB4294F17B6A77995A4E0B7088C277ECAD2E3B16C9B42C2Y5M" TargetMode="External"/><Relationship Id="rId14" Type="http://schemas.openxmlformats.org/officeDocument/2006/relationships/hyperlink" Target="consultantplus://offline/ref=34EF289262674C76B9A80004F40673923ECFB4294F17B6A77995A4E0B7088C277ECAD2E3B16C9B40C2Y3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2192</Words>
  <Characters>12501</Characters>
  <Application>Microsoft Office Word</Application>
  <DocSecurity>0</DocSecurity>
  <Lines>104</Lines>
  <Paragraphs>29</Paragraphs>
  <ScaleCrop>false</ScaleCrop>
  <Company>Microsoft</Company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</dc:creator>
  <cp:lastModifiedBy>tav</cp:lastModifiedBy>
  <cp:revision>1</cp:revision>
  <dcterms:created xsi:type="dcterms:W3CDTF">2013-12-17T12:24:00Z</dcterms:created>
  <dcterms:modified xsi:type="dcterms:W3CDTF">2013-12-17T12:24:00Z</dcterms:modified>
</cp:coreProperties>
</file>